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44" w:rsidRPr="007A0544" w:rsidRDefault="007A0544" w:rsidP="007A054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</w:pPr>
      <w:r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begin"/>
      </w:r>
      <w:r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instrText xml:space="preserve"> HYPERLINK "http://www.vishneviy-sad.ru/konsultaciya-muzykalnye-igry-v-seme/" \o "Постоянная ссылка на Консультация \«Музыкальные игры в семье\»" </w:instrText>
      </w:r>
      <w:r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separate"/>
      </w:r>
      <w:r w:rsidRPr="007A0544">
        <w:rPr>
          <w:rFonts w:ascii="Trebuchet MS" w:eastAsia="Times New Roman" w:hAnsi="Trebuchet MS" w:cs="Times New Roman"/>
          <w:smallCaps/>
          <w:color w:val="CC531E"/>
          <w:sz w:val="42"/>
          <w:szCs w:val="42"/>
          <w:lang w:eastAsia="ru-RU"/>
        </w:rPr>
        <w:t>Консультация «Музыкальные игры в семье»</w:t>
      </w:r>
      <w:r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end"/>
      </w:r>
    </w:p>
    <w:p w:rsidR="007A0544" w:rsidRPr="007A0544" w:rsidRDefault="007A0544" w:rsidP="007A0544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23C33"/>
          <w:sz w:val="17"/>
          <w:szCs w:val="17"/>
          <w:lang w:eastAsia="ru-RU"/>
        </w:rPr>
      </w:pP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Учитесь танцевать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Большая кукла и маленькие (по числу играющих)</w:t>
      </w:r>
      <w:proofErr w:type="gramStart"/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 xml:space="preserve"> .</w:t>
      </w:r>
      <w:proofErr w:type="gramEnd"/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Громко – тихо.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Два кубика: большой и маленький.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2-й вариант: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Нарисуй песню.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Цель: Учить определять характер музыки и предавать свои впечатления в рисунке.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Игровой материал: Любая песня, альбомный лист, карандаши или фломастеры.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Громко – тихо запоём.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Любая игрушка.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Угадай мелодию.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записи песен, фишки.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Танцы сказочных персонажей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FA578E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Только тогда он раскроется, будет искать творческий момент в любом деле. И наконец, будет сам придумывать новые игры.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  <w:bookmarkStart w:id="0" w:name="_GoBack"/>
      <w:bookmarkEnd w:id="0"/>
    </w:p>
    <w:sectPr w:rsidR="00FA578E" w:rsidRPr="007A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CE"/>
    <w:rsid w:val="007A0544"/>
    <w:rsid w:val="00AC7CCE"/>
    <w:rsid w:val="00F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2017-04-09T14:00:00Z</dcterms:created>
  <dcterms:modified xsi:type="dcterms:W3CDTF">2017-04-09T14:03:00Z</dcterms:modified>
</cp:coreProperties>
</file>